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Polyclonal Antibody to </w:t>
      </w: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Phospho-PFKFB3</w:t>
      </w:r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 (Ser461)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textAlignment w:val="baseline"/>
        <w:rPr>
          <w:rFonts w:hint="default" w:ascii="Arial" w:hAnsi="Arial" w:cs="Arial"/>
          <w:b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</w:pPr>
    </w:p>
    <w:p>
      <w:pPr>
        <w:jc w:val="righ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DPA05579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30ul</w:t>
      </w:r>
    </w:p>
    <w:p>
      <w:pPr>
        <w:pStyle w:val="2"/>
        <w:spacing w:before="0"/>
      </w:pPr>
      <w:r>
        <w:t xml:space="preserve">[ </w:t>
      </w:r>
      <w:r>
        <w:rPr>
          <w:u w:val="single"/>
        </w:rPr>
        <w:t xml:space="preserve">PROPERTIES </w:t>
      </w:r>
      <w:r>
        <w:t>]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 xml:space="preserve">Source: </w:t>
      </w:r>
      <w:r>
        <w:rPr>
          <w:rFonts w:hint="eastAsia"/>
          <w:b/>
          <w:sz w:val="24"/>
          <w:lang w:val="en-US" w:eastAsia="zh-CN"/>
        </w:rPr>
        <w:t>Poly</w:t>
      </w:r>
      <w:r>
        <w:rPr>
          <w:sz w:val="24"/>
        </w:rPr>
        <w:t>clonal antibody preparation</w:t>
      </w:r>
    </w:p>
    <w:p>
      <w:pPr>
        <w:spacing w:before="207"/>
        <w:ind w:left="110" w:right="0" w:firstLine="0"/>
        <w:jc w:val="left"/>
        <w:rPr>
          <w:sz w:val="24"/>
        </w:rPr>
      </w:pPr>
      <w:r>
        <w:rPr>
          <w:b/>
          <w:sz w:val="24"/>
        </w:rPr>
        <w:t xml:space="preserve">Host: </w:t>
      </w:r>
      <w:r>
        <w:rPr>
          <w:rFonts w:hint="eastAsia"/>
          <w:b/>
          <w:sz w:val="24"/>
          <w:lang w:val="en-US" w:eastAsia="zh-CN"/>
        </w:rPr>
        <w:t>Rabbit</w:t>
      </w:r>
    </w:p>
    <w:p>
      <w:pPr>
        <w:spacing w:before="212"/>
        <w:ind w:left="110" w:right="0" w:firstLine="0"/>
        <w:jc w:val="left"/>
        <w:rPr>
          <w:rFonts w:hint="eastAsia"/>
          <w:sz w:val="24"/>
          <w:lang w:val="en-US" w:eastAsia="zh-CN"/>
        </w:rPr>
      </w:pPr>
      <w:r>
        <w:rPr>
          <w:b/>
          <w:sz w:val="24"/>
        </w:rPr>
        <w:t>Purification</w:t>
      </w:r>
      <w:r>
        <w:rPr>
          <w:sz w:val="24"/>
        </w:rPr>
        <w:t xml:space="preserve">: </w:t>
      </w:r>
      <w:r>
        <w:rPr>
          <w:rFonts w:hint="eastAsia"/>
          <w:sz w:val="24"/>
          <w:lang w:val="en-US" w:eastAsia="zh-CN"/>
        </w:rPr>
        <w:t>Antigen-specific affinity chromatography followed by Protein A affinity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chromatography.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>Traits</w:t>
      </w:r>
      <w:r>
        <w:rPr>
          <w:sz w:val="24"/>
        </w:rPr>
        <w:t xml:space="preserve">: Liquid </w:t>
      </w:r>
    </w:p>
    <w:p>
      <w:pPr>
        <w:spacing w:before="212"/>
        <w:ind w:left="110" w:right="0" w:firstLine="0"/>
        <w:jc w:val="left"/>
        <w:rPr>
          <w:rFonts w:hint="eastAsia"/>
          <w:sz w:val="24"/>
          <w:lang w:val="en-US" w:eastAsia="zh-CN"/>
        </w:rPr>
      </w:pPr>
      <w:r>
        <w:rPr>
          <w:sz w:val="24"/>
        </w:rPr>
        <w:t xml:space="preserve">Concentration: </w:t>
      </w:r>
      <w:r>
        <w:rPr>
          <w:rFonts w:hint="eastAsia"/>
          <w:sz w:val="24"/>
          <w:lang w:val="en-US" w:eastAsia="zh-CN"/>
        </w:rPr>
        <w:t>0.5mg/ml</w:t>
      </w:r>
    </w:p>
    <w:p>
      <w:pPr>
        <w:spacing w:before="212"/>
        <w:ind w:left="110" w:right="0" w:firstLine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Ig Isotype:IgG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>UOM</w:t>
      </w:r>
      <w:r>
        <w:rPr>
          <w:sz w:val="24"/>
        </w:rPr>
        <w:t xml:space="preserve">: 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0µl</w:t>
      </w:r>
    </w:p>
    <w:p>
      <w:pPr>
        <w:spacing w:before="212"/>
        <w:ind w:left="110" w:right="0" w:firstLine="0"/>
        <w:jc w:val="left"/>
        <w:rPr>
          <w:rFonts w:hint="default"/>
          <w:sz w:val="24"/>
          <w:lang w:val="en-US"/>
        </w:rPr>
      </w:pPr>
      <w:r>
        <w:rPr>
          <w:b/>
          <w:sz w:val="24"/>
        </w:rPr>
        <w:t>Cross Reactivity</w:t>
      </w:r>
      <w:r>
        <w:rPr>
          <w:sz w:val="24"/>
        </w:rPr>
        <w:t>: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Human, Mouse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>Applications</w:t>
      </w:r>
      <w:r>
        <w:rPr>
          <w:sz w:val="24"/>
        </w:rPr>
        <w:t xml:space="preserve">: </w:t>
      </w:r>
      <w:r>
        <w:rPr>
          <w:rFonts w:hint="eastAsia"/>
          <w:sz w:val="24"/>
        </w:rPr>
        <w:t>WB,ICC/IF</w:t>
      </w:r>
      <w:r>
        <w:rPr>
          <w:sz w:val="24"/>
        </w:rPr>
        <w:t>.</w:t>
      </w:r>
    </w:p>
    <w:p>
      <w:pPr>
        <w:spacing w:before="212"/>
        <w:ind w:left="110" w:right="0" w:firstLine="0"/>
        <w:jc w:val="left"/>
        <w:rPr>
          <w:rFonts w:ascii="Arial" w:hAnsi="Arial" w:eastAsia="Arial" w:cs="Arial"/>
          <w:b/>
          <w:bCs/>
          <w:kern w:val="2"/>
          <w:sz w:val="25"/>
          <w:szCs w:val="25"/>
          <w:u w:val="single"/>
          <w:lang w:val="en-US" w:eastAsia="zh-CN" w:bidi="ar-SA"/>
        </w:rPr>
      </w:pPr>
      <w:r>
        <w:rPr>
          <w:sz w:val="24"/>
        </w:rPr>
        <w:t xml:space="preserve"> </w:t>
      </w:r>
      <w:r>
        <w:rPr>
          <w:rFonts w:ascii="Arial" w:hAnsi="Arial" w:eastAsia="Arial" w:cs="Arial"/>
          <w:b/>
          <w:bCs/>
          <w:kern w:val="2"/>
          <w:sz w:val="25"/>
          <w:szCs w:val="25"/>
          <w:u w:val="single"/>
          <w:lang w:val="en-US" w:eastAsia="zh-CN" w:bidi="ar-SA"/>
        </w:rPr>
        <w:t>[ IMMUNOGEN ]</w:t>
      </w:r>
    </w:p>
    <w:p>
      <w:pPr>
        <w:spacing w:before="212"/>
        <w:ind w:left="110" w:right="0" w:firstLine="0"/>
        <w:jc w:val="left"/>
        <w:rPr>
          <w:rFonts w:hint="eastAsia" w:eastAsiaTheme="minorEastAsia"/>
          <w:sz w:val="24"/>
          <w:lang w:val="en-US" w:eastAsia="zh-CN"/>
        </w:rPr>
      </w:pPr>
      <w:r>
        <w:rPr>
          <w:sz w:val="24"/>
        </w:rPr>
        <w:t xml:space="preserve">Immunogen: </w:t>
      </w:r>
      <w:r>
        <w:rPr>
          <w:rFonts w:hint="eastAsia"/>
          <w:sz w:val="24"/>
        </w:rPr>
        <w:t>A synthetic phosphopeptide corresponding to residues surrounding Ser461 of human PFKFB3</w:t>
      </w:r>
      <w:r>
        <w:rPr>
          <w:rFonts w:hint="eastAsia"/>
          <w:sz w:val="24"/>
          <w:lang w:val="en-US" w:eastAsia="zh-CN"/>
        </w:rPr>
        <w:t>.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rFonts w:ascii="Arial" w:hAnsi="Arial" w:eastAsia="Arial" w:cs="Arial"/>
          <w:b/>
          <w:bCs/>
          <w:kern w:val="2"/>
          <w:sz w:val="25"/>
          <w:szCs w:val="25"/>
          <w:u w:val="single"/>
          <w:lang w:val="en-US" w:eastAsia="zh-CN" w:bidi="ar-SA"/>
        </w:rPr>
        <w:t>[ APPLICATIONS ]</w:t>
      </w:r>
    </w:p>
    <w:p>
      <w:pPr>
        <w:spacing w:before="212"/>
        <w:ind w:left="110" w:right="0" w:firstLine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WB: 1:1000</w:t>
      </w:r>
    </w:p>
    <w:p>
      <w:pPr>
        <w:spacing w:before="212"/>
        <w:ind w:left="110" w:right="0" w:firstLine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ICC/IF: 1:20;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sz w:val="24"/>
        </w:rPr>
        <w:t>Optimal working dilutions must be determined by end user.</w:t>
      </w:r>
    </w:p>
    <w:p>
      <w:pPr>
        <w:pStyle w:val="2"/>
        <w:spacing w:before="220"/>
      </w:pPr>
      <w:r>
        <w:t xml:space="preserve">[ </w:t>
      </w:r>
      <w:r>
        <w:rPr>
          <w:u w:val="single"/>
        </w:rPr>
        <w:t>FORMULATION</w:t>
      </w:r>
      <w:r>
        <w:rPr>
          <w:spacing w:val="50"/>
          <w:u w:val="single"/>
        </w:rPr>
        <w:t xml:space="preserve"> </w:t>
      </w:r>
      <w:r>
        <w:t>]</w:t>
      </w:r>
    </w:p>
    <w:p>
      <w:pPr>
        <w:pStyle w:val="4"/>
        <w:spacing w:before="212" w:line="417" w:lineRule="auto"/>
        <w:ind w:left="110" w:right="115"/>
      </w:pPr>
      <w:r>
        <w:rPr>
          <w:b/>
        </w:rPr>
        <w:t xml:space="preserve">Form &amp; Buffer: </w:t>
      </w:r>
      <w:r>
        <w:t>Supplied as solution form in 0.01M PBS, pH7.4, containing 0.05% Proclin-300, 50% glycerol.</w:t>
      </w:r>
    </w:p>
    <w:p>
      <w:pPr>
        <w:pStyle w:val="2"/>
      </w:pPr>
      <w:r>
        <w:t xml:space="preserve">[ </w:t>
      </w:r>
      <w:r>
        <w:rPr>
          <w:u w:val="single"/>
        </w:rPr>
        <w:t xml:space="preserve">STORAGE AND STABILITY  </w:t>
      </w:r>
      <w:r>
        <w:t>]</w:t>
      </w:r>
    </w:p>
    <w:p>
      <w:pPr>
        <w:spacing w:before="212"/>
        <w:ind w:left="110" w:right="0" w:firstLine="0"/>
        <w:jc w:val="left"/>
        <w:rPr>
          <w:sz w:val="24"/>
        </w:rPr>
      </w:pPr>
      <w:r>
        <w:rPr>
          <w:b/>
          <w:sz w:val="24"/>
        </w:rPr>
        <w:t xml:space="preserve">Storage: </w:t>
      </w:r>
      <w:r>
        <w:rPr>
          <w:sz w:val="24"/>
        </w:rPr>
        <w:t>Avoid repeated freeze/thaw cycles.</w:t>
      </w:r>
    </w:p>
    <w:p>
      <w:pPr>
        <w:pStyle w:val="4"/>
        <w:spacing w:before="204"/>
        <w:ind w:left="1110"/>
      </w:pPr>
      <w:r>
        <w:t>Store at 4ºC for frequent use.</w:t>
      </w:r>
    </w:p>
    <w:p>
      <w:pPr>
        <w:pStyle w:val="4"/>
        <w:spacing w:before="204"/>
        <w:ind w:left="1110"/>
      </w:pPr>
      <w:r>
        <w:t>Aliquot and store at -20ºC for 12 months.</w:t>
      </w:r>
    </w:p>
    <w:p>
      <w:pPr>
        <w:pStyle w:val="4"/>
        <w:spacing w:before="207" w:line="417" w:lineRule="auto"/>
        <w:ind w:left="110" w:right="89"/>
      </w:pPr>
      <w:r>
        <w:rPr>
          <w:b/>
        </w:rPr>
        <w:t xml:space="preserve">Stability Test: </w:t>
      </w:r>
      <w:r>
        <w:t>The thermal stability is described by the loss rate. The loss rate was determined by accelerated thermal degradation test, that is, incubate the protein at 37°C for 48h, and no</w:t>
      </w:r>
      <w:r>
        <w:rPr>
          <w:rFonts w:hint="eastAsia" w:eastAsia="宋体"/>
          <w:lang w:val="en-US" w:eastAsia="zh-CN"/>
        </w:rPr>
        <w:t xml:space="preserve"> </w:t>
      </w:r>
      <w:r>
        <w:t>obvious degradation and precipitation were observed. The loss rate is less than 5% within the expiration date under appropriate storage condition.</w:t>
      </w:r>
    </w:p>
    <w:p>
      <w:pPr>
        <w:pStyle w:val="2"/>
      </w:pPr>
      <w:r>
        <w:t xml:space="preserve">[ </w:t>
      </w:r>
      <w:r>
        <w:rPr>
          <w:u w:val="single"/>
        </w:rPr>
        <w:t>IDENTIFICATION</w:t>
      </w:r>
      <w:r>
        <w:rPr>
          <w:spacing w:val="53"/>
          <w:u w:val="single"/>
        </w:rPr>
        <w:t xml:space="preserve"> </w:t>
      </w:r>
      <w: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19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6344285</wp:posOffset>
                </wp:positionV>
                <wp:extent cx="6480175" cy="0"/>
                <wp:effectExtent l="0" t="0" r="0" b="0"/>
                <wp:wrapNone/>
                <wp:docPr id="1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9750" y="10692130"/>
                          <a:ext cx="6480175" cy="0"/>
                        </a:xfrm>
                        <a:prstGeom prst="line">
                          <a:avLst/>
                        </a:prstGeom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5.5pt;margin-top:499.55pt;height:0pt;width:510.25pt;z-index:-251656192;mso-width-relative:page;mso-height-relative:page;" filled="f" stroked="t" coordsize="21600,21600" o:gfxdata="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xB4R9YAAAALAQAADwAAAAAAAAABACAAAAAiAAAAZHJzL2Rvd25yZXYueG1sUEsB&#10;AhQAFAAAAAgAh07iQF9Esun3AQAA6gMAAA4AAAAAAAAAAQAgAAAAJQEAAGRycy9lMm9Eb2MueG1s&#10;UEsFBgAAAAAGAAYAWQEAAI4FAAAAAA==&#10;">
                <v:fill on="f" focussize="0,0"/>
                <v:stroke weight="0.8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9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  <w:t xml:space="preserve">       </w:t>
      </w:r>
      <w:r>
        <w:rPr>
          <w:rFonts w:hint="eastAsia" w:ascii="Arial" w:hAnsi="Arial" w:eastAsia="Arial" w:cs="Arial"/>
          <w:kern w:val="2"/>
          <w:sz w:val="15"/>
          <w:szCs w:val="15"/>
          <w:lang w:val="en-US" w:eastAsia="zh-CN" w:bidi="ar-SA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  <w:t xml:space="preserve">                                                                                                                         </w:t>
      </w:r>
    </w:p>
    <w:p>
      <w:pPr>
        <w:pStyle w:val="2"/>
        <w:spacing w:before="98"/>
        <w:ind w:left="0" w:leftChars="0" w:firstLine="0" w:firstLineChars="0"/>
        <w:rPr>
          <w:rFonts w:ascii="Arial" w:hAnsi="Arial" w:eastAsia="Arial" w:cs="Arial"/>
          <w:kern w:val="2"/>
          <w:sz w:val="24"/>
          <w:szCs w:val="24"/>
          <w:lang w:val="en-US" w:eastAsia="zh-CN" w:bidi="ar-SA"/>
        </w:rPr>
      </w:pPr>
      <w:r>
        <w:rPr>
          <w:rFonts w:ascii="Arial" w:hAnsi="Arial" w:eastAsia="Arial" w:cs="Arial"/>
          <w:kern w:val="2"/>
          <w:sz w:val="24"/>
          <w:szCs w:val="24"/>
          <w:lang w:val="en-US" w:eastAsia="zh-CN" w:bidi="ar-SA"/>
        </w:rPr>
        <w:t>[ IMPORTANT NOTE ]</w:t>
      </w:r>
    </w:p>
    <w:p>
      <w:pPr>
        <w:pStyle w:val="4"/>
        <w:spacing w:before="208" w:line="417" w:lineRule="auto"/>
        <w:ind w:left="110" w:right="188"/>
      </w:pPr>
      <w:r>
        <w:t>The kit is designed for research use only, we will not be responsible for any issue if the kit was used in clinical diagnostic or any other procedures.</w:t>
      </w:r>
    </w:p>
    <w:p>
      <w:pPr>
        <w:jc w:val="both"/>
        <w:rPr>
          <w:rFonts w:hint="eastAsia"/>
          <w:b w:val="0"/>
          <w:bCs/>
          <w:sz w:val="28"/>
          <w:szCs w:val="28"/>
          <w:lang w:val="en-US" w:eastAsia="zh-CN"/>
        </w:rPr>
      </w:pPr>
    </w:p>
    <w:p/>
    <w:p/>
    <w:p/>
    <w:p/>
    <w:p/>
    <w:p/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宋体" w:hAnsi="宋体" w:eastAsia="宋体" w:cs="宋体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-170180</wp:posOffset>
          </wp:positionV>
          <wp:extent cx="1571625" cy="523875"/>
          <wp:effectExtent l="0" t="0" r="9525" b="9525"/>
          <wp:wrapNone/>
          <wp:docPr id="5" name="图片 5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MWJhNDgyNTNkYzMzMTE3YmRiNjA0YTg0NjYyZjQifQ=="/>
  </w:docVars>
  <w:rsids>
    <w:rsidRoot w:val="00000000"/>
    <w:rsid w:val="13897B92"/>
    <w:rsid w:val="1436449E"/>
    <w:rsid w:val="19806016"/>
    <w:rsid w:val="1CF01354"/>
    <w:rsid w:val="1E694EA8"/>
    <w:rsid w:val="31A2378C"/>
    <w:rsid w:val="3C912BBE"/>
    <w:rsid w:val="40E22914"/>
    <w:rsid w:val="4D4370D7"/>
    <w:rsid w:val="50CD7246"/>
    <w:rsid w:val="569043CE"/>
    <w:rsid w:val="5EBD6387"/>
    <w:rsid w:val="61DF0354"/>
    <w:rsid w:val="7515370D"/>
    <w:rsid w:val="7B3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21"/>
      <w:ind w:left="110"/>
      <w:outlineLvl w:val="1"/>
    </w:pPr>
    <w:rPr>
      <w:rFonts w:ascii="Arial" w:hAnsi="Arial" w:eastAsia="Arial" w:cs="Arial"/>
      <w:b/>
      <w:bCs/>
      <w:sz w:val="25"/>
      <w:szCs w:val="25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Arial" w:hAnsi="Arial" w:eastAsia="Arial" w:cs="Arial"/>
      <w:sz w:val="24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1115</Characters>
  <Lines>0</Lines>
  <Paragraphs>0</Paragraphs>
  <TotalTime>11</TotalTime>
  <ScaleCrop>false</ScaleCrop>
  <LinksUpToDate>false</LinksUpToDate>
  <CharactersWithSpaces>1484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天正源生物蛋白抗体专业研发</cp:lastModifiedBy>
  <dcterms:modified xsi:type="dcterms:W3CDTF">2024-04-13T07:13:05Z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6C9CA5E5A01940D3A2E0CC1009098360_13</vt:lpwstr>
  </property>
</Properties>
</file>